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18F" w:rsidRDefault="00003CA2" w:rsidP="00E4518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Сыбайлас жемқорлыққа қарсы</w:t>
      </w:r>
      <w:r w:rsidR="00CD2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518F" w:rsidRPr="00E4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D2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</w:t>
      </w:r>
    </w:p>
    <w:p w:rsidR="00E4518F" w:rsidRDefault="00003CA2" w:rsidP="00003CA2">
      <w:pPr>
        <w:pStyle w:val="ac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Қоғамдық қатынастар саласының атауы</w:t>
      </w:r>
      <w:r w:rsidR="004F51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D2E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</w:t>
      </w:r>
      <w:r w:rsidR="003A40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145B" w:rsidRPr="00400D2F" w:rsidRDefault="007D145B" w:rsidP="00003CA2">
      <w:pPr>
        <w:pStyle w:val="ac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D2F" w:rsidRPr="00003CA2" w:rsidRDefault="00003CA2" w:rsidP="00003CA2">
      <w:pPr>
        <w:pStyle w:val="ac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3C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Сыбайлас жемқорлыққа қарсы</w:t>
      </w:r>
      <w:r w:rsidRPr="00003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стандарт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ты әзірлеушінің атауы </w:t>
      </w:r>
      <w:r w:rsidR="00B636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Сәтбаев қаласының білім бөлімі</w:t>
      </w:r>
      <w:bookmarkStart w:id="0" w:name="_GoBack"/>
      <w:bookmarkEnd w:id="0"/>
    </w:p>
    <w:p w:rsidR="007D145B" w:rsidRPr="00400D2F" w:rsidRDefault="007D145B" w:rsidP="00003CA2">
      <w:pPr>
        <w:pStyle w:val="ac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0DF" w:rsidRPr="00003CA2" w:rsidRDefault="00003CA2" w:rsidP="00003CA2">
      <w:pPr>
        <w:pStyle w:val="ac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3C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Оқшауланған қоғамдық қатынастар саласында қызмет ететін тұлғалардың іс-әрекет (іс-қимыл) ережелері </w:t>
      </w:r>
    </w:p>
    <w:p w:rsidR="00003CA2" w:rsidRPr="00A152AC" w:rsidRDefault="00400D2F" w:rsidP="00003CA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</w:t>
      </w:r>
      <w:r w:rsidR="007D145B" w:rsidRPr="00F36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3C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сыбайлас жемқорлыққа қарсы</w:t>
      </w:r>
      <w:r w:rsidR="00003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3CA2" w:rsidRPr="00E451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3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</w:t>
      </w:r>
      <w:r w:rsidR="00003C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пен қозғалатын саладағы жеке және </w:t>
      </w:r>
      <w:proofErr w:type="gramStart"/>
      <w:r w:rsidR="00003C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заңды</w:t>
      </w:r>
      <w:proofErr w:type="gramEnd"/>
      <w:r w:rsidR="00003CA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тұлғалардың құқықтары мен заңды мүдделерін жүзеге асыру барысында</w:t>
      </w:r>
      <w:r w:rsidR="00A152A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003CA2" w:rsidRDefault="00454A48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003CA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1) </w:t>
      </w:r>
      <w:r w:rsidR="00003CA2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заңдылық ұстанымын, Конституция талаптарын, Қазақстан Республикасының заңдары мен өзге нормативтік құқықтық актілерін басшылыққа алу</w:t>
      </w:r>
      <w:r w:rsidR="007E7290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;</w:t>
      </w:r>
    </w:p>
    <w:p w:rsidR="007E7290" w:rsidRDefault="007E7290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2) жеке сипаттағы мәселелерді шешу барысында мемлекеттік органдар, ұйымдар, мемлекеттік қызметшілер және өзге тұлғалар қызметіне ықпал ету үшін қызметтік жағдайын пайдаланбау;</w:t>
      </w:r>
    </w:p>
    <w:p w:rsidR="007E7290" w:rsidRDefault="007E7290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3) дау-жанжалды туындататын кез келген мүмкіндікке жол бермеу бойынша шаралар қабылдау;</w:t>
      </w:r>
    </w:p>
    <w:p w:rsidR="007E7290" w:rsidRDefault="007E7290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4) </w:t>
      </w:r>
      <w:r w:rsidR="001C389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жеке және заңды тұлғалардың өздерінің құқықтары мен заңды мүдделерінің жүзеге асырылуын қиындататын іс-</w:t>
      </w:r>
      <w:r w:rsidR="00E86AC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әрекеттерге (іс-әрекетсіздіктерг</w:t>
      </w:r>
      <w:r w:rsidR="001C389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е) жол бермеу;</w:t>
      </w:r>
    </w:p>
    <w:p w:rsidR="001C389F" w:rsidRDefault="001C389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5) жеке мүліктік және мүліктік емес пайдасына қол жеткізу үшін өзінің лауазымдық өкілеттігін немесе сонымен байланысты мүмкіндіктерді қолданбау;</w:t>
      </w:r>
    </w:p>
    <w:p w:rsidR="001C389F" w:rsidRDefault="001C389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6) жоғары кәсіби жұмыс үшін барлық күш-жігерін жұмсау, қойылған міндеттерді шешудің оңтайлы, үнемді және өзге құзыретті амалдарын қолдану;</w:t>
      </w:r>
    </w:p>
    <w:p w:rsidR="001C389F" w:rsidRDefault="001C389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7) </w:t>
      </w:r>
      <w:r w:rsidR="000C37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үнемі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өзінің біліктілігі мен кәсіпқойлығын</w:t>
      </w:r>
      <w:r w:rsidR="000C370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жетілдіру, жалпы мәдениет деңгейін арттыру;</w:t>
      </w:r>
    </w:p>
    <w:p w:rsidR="000C3701" w:rsidRDefault="000C3701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8) </w:t>
      </w:r>
      <w:r w:rsidR="003432D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қызметтік бабын асыра пайдалануға, әдепсіздік, жөнсіз төрешілдік танытуға жол бермеу;</w:t>
      </w:r>
    </w:p>
    <w:p w:rsidR="003432DF" w:rsidRDefault="003432D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9) азаматтар мен заңды тұлғалардың құқықтарының, бостандықтары мен заңды мүдделерінің сақталуын және қорғалуын қамтамасыз ету, олардың өтініштерін Қазақстан Республикасының заңнамасымен белгіленген тәртіпт</w:t>
      </w:r>
      <w:r w:rsidR="006959A9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е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және мерзімде қарау, қажетті шаралар қабылдау;</w:t>
      </w:r>
    </w:p>
    <w:p w:rsidR="00003CA2" w:rsidRDefault="003432D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10) өтінішпен жүгінген азаматтардың абыройы мен намысын құрметтеу.</w:t>
      </w:r>
    </w:p>
    <w:p w:rsidR="00003CA2" w:rsidRDefault="00003CA2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116141" w:rsidRPr="00864CEB" w:rsidRDefault="00400D2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64C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3.2. </w:t>
      </w:r>
      <w:r w:rsidR="003432D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өзінің құзыреті аясында басқарушылық және өзге шешімдерді дайындау және қабылдау барысында</w:t>
      </w:r>
      <w:r w:rsidR="00864CE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3432DF" w:rsidRDefault="00AE77FD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A152A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</w:t>
      </w:r>
      <w:r w:rsidR="00454A48" w:rsidRPr="00A152A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) </w:t>
      </w:r>
      <w:r w:rsidR="003432DF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кәсіби этиканы сақтау;</w:t>
      </w:r>
    </w:p>
    <w:p w:rsidR="003432DF" w:rsidRDefault="003432D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lastRenderedPageBreak/>
        <w:t>2) кей</w:t>
      </w:r>
      <w:r w:rsidR="00AD765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бір тұлғалардың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сыбайлас жемқорлық құқықбұзушылықтарын жасауға </w:t>
      </w:r>
      <w:r w:rsidR="0015679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әрекеттен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 мақсатында</w:t>
      </w:r>
      <w:r w:rsidR="00AD7656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жүгінгені жайында басшылыққа және уәкілетті органға хабарла</w:t>
      </w:r>
      <w:r w:rsidR="0015679A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у;</w:t>
      </w:r>
    </w:p>
    <w:p w:rsidR="0015679A" w:rsidRDefault="0015679A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3) еңбек тәртібін мүлтіксіз орындау, билікті тиімді жүргізу, өзінің қызметтік міндеттерін адал, бейтарап және сапалы атқару, жұмыс уақытын тиімді пайдалану;</w:t>
      </w:r>
    </w:p>
    <w:p w:rsidR="0015679A" w:rsidRDefault="0015679A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4) жеке және заңды тұлғаларға артықшылық көрсетпеу, лауазымдық міндеттерін орындау кезінде олардың ықпалына тәуелсіз болу;</w:t>
      </w:r>
    </w:p>
    <w:p w:rsidR="0015679A" w:rsidRDefault="0015679A" w:rsidP="0015679A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5) жеке сипаттағы мәселелерді шешу барысында мемлекеттік органдар, ұйымдар, мемлекеттік қызметшілер және өзге тұлғалар қызметіне ықпал ету үшін қызметтік жағдайын пайдаланбау;</w:t>
      </w:r>
    </w:p>
    <w:p w:rsidR="0015679A" w:rsidRPr="003432DF" w:rsidRDefault="0015679A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6) мүдделер қайшыл</w:t>
      </w:r>
      <w:r w:rsidR="00C4284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ығына жол бермеу,  туындаған жағдайда оларды жою бойынша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="00C42848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заңнамаға сәйкес шаралар қабылдау.</w:t>
      </w:r>
    </w:p>
    <w:p w:rsidR="003432DF" w:rsidRDefault="003432DF" w:rsidP="00003CA2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F36029" w:rsidRDefault="00F36029" w:rsidP="00F36029">
      <w:pPr>
        <w:pStyle w:val="Default"/>
        <w:jc w:val="both"/>
        <w:rPr>
          <w:b/>
          <w:sz w:val="28"/>
          <w:szCs w:val="28"/>
          <w:lang w:val="kk-KZ"/>
        </w:rPr>
      </w:pPr>
      <w:r w:rsidRPr="00307FF4">
        <w:rPr>
          <w:b/>
          <w:sz w:val="28"/>
          <w:szCs w:val="28"/>
          <w:lang w:val="kk-KZ"/>
        </w:rPr>
        <w:t xml:space="preserve">3.3. </w:t>
      </w:r>
      <w:r w:rsidR="00307FF4">
        <w:rPr>
          <w:b/>
          <w:sz w:val="28"/>
          <w:szCs w:val="28"/>
          <w:lang w:val="kk-KZ"/>
        </w:rPr>
        <w:t>нормативтік құқықтық актілер жобасын әзірлеу кезінде қызметші</w:t>
      </w:r>
      <w:r w:rsidRPr="00F36029">
        <w:rPr>
          <w:b/>
          <w:sz w:val="28"/>
          <w:szCs w:val="28"/>
          <w:lang w:val="kk-KZ"/>
        </w:rPr>
        <w:t>:</w:t>
      </w:r>
    </w:p>
    <w:p w:rsidR="00307FF4" w:rsidRDefault="00F36029" w:rsidP="00F36029">
      <w:pPr>
        <w:pStyle w:val="Default"/>
        <w:jc w:val="both"/>
        <w:rPr>
          <w:i/>
          <w:sz w:val="28"/>
          <w:szCs w:val="28"/>
          <w:lang w:val="kk-KZ"/>
        </w:rPr>
      </w:pPr>
      <w:r w:rsidRPr="00307FF4">
        <w:rPr>
          <w:i/>
          <w:sz w:val="28"/>
          <w:szCs w:val="28"/>
          <w:lang w:val="kk-KZ"/>
        </w:rPr>
        <w:t xml:space="preserve">1) </w:t>
      </w:r>
      <w:r w:rsidR="00307FF4">
        <w:rPr>
          <w:i/>
          <w:sz w:val="28"/>
          <w:szCs w:val="28"/>
          <w:lang w:val="kk-KZ"/>
        </w:rPr>
        <w:t>Қазақстан Республикасының сыбайлас жемқорлық құқық нормалары заңнамасына қайшылықтарды анықтау мақсатында нормативтік құқықтық актілерге құқықтық мониторинг жүргізуі;</w:t>
      </w:r>
    </w:p>
    <w:p w:rsidR="00307FF4" w:rsidRDefault="00307FF4" w:rsidP="00F36029">
      <w:pPr>
        <w:pStyle w:val="Default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2) мемлекеттік және өзге органдар мен ұйымдардың білім беру саласындағы заңнамаларды жетілдіру жөнінде ұсыныстарын ескеруі;</w:t>
      </w:r>
    </w:p>
    <w:p w:rsidR="00307FF4" w:rsidRPr="00307FF4" w:rsidRDefault="00307FF4" w:rsidP="00F36029">
      <w:pPr>
        <w:pStyle w:val="Default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3) нормативтік құқықтық актілер жобасы азаматтардың құқықтары мен міндеттерін қозғаған жағдайда, оны қауыммен міндетті талқылай отырып, әзірлеуі тиіс.</w:t>
      </w:r>
    </w:p>
    <w:p w:rsidR="009804FB" w:rsidRPr="00307FF4" w:rsidRDefault="009804FB" w:rsidP="009804FB">
      <w:pPr>
        <w:pStyle w:val="ac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</w:p>
    <w:p w:rsidR="00404FD4" w:rsidRDefault="00E43CFF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04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="00400D2F" w:rsidRPr="00404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 w:rsidR="0071667C" w:rsidRPr="00404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="00400D2F" w:rsidRPr="00404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404F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өмір қызметі саласындағы ерекшелікке байланысты туындайтын өзге өзара қарым-қатынас жасау барысында:</w:t>
      </w:r>
    </w:p>
    <w:p w:rsidR="00404FD4" w:rsidRDefault="001D75CA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04FD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1)</w:t>
      </w:r>
      <w:r w:rsidR="00404FD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заңмен қылмыстық, әкімшілік немесе тәртіптік жауапкершілік қарастырылған қылмыс пен өзге құқықбұзушылықтарға жол бермеу;</w:t>
      </w:r>
    </w:p>
    <w:p w:rsidR="00404FD4" w:rsidRDefault="00404FD4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2) қарамағындағы қызметшілерге қатысты негізсіз кінә тағуға, әдепсіздік, адамгершілік абыройын қорлау фактілеріне жол бермеу;</w:t>
      </w:r>
    </w:p>
    <w:p w:rsidR="00404FD4" w:rsidRDefault="00404FD4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3) басшылардың тапсырмаларын орындау барысында негізделген және сенімді мәліметтер ғана ұсыну;</w:t>
      </w:r>
    </w:p>
    <w:p w:rsidR="00404FD4" w:rsidRDefault="00404FD4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4) мүліктің сақталуын қамтамасыз ету, меншікті, автокөлік құралдарын қосқанда, тиімді, оңтайлы және қызметтік мақсаттарда ғана пайдалану;</w:t>
      </w:r>
    </w:p>
    <w:p w:rsidR="00404FD4" w:rsidRDefault="00404FD4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5) ұжым арасында іскерлік өзара қарым-қатынас орнатуға және нығайтуға септігін тигізу;</w:t>
      </w:r>
    </w:p>
    <w:p w:rsidR="00404FD4" w:rsidRDefault="00404FD4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6) қызметтік міндеттерін тиімді пайдалану үшін</w:t>
      </w:r>
      <w:r w:rsidR="00707767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өзінің кәсіби деңгейі мен біліктілігін арттыру;</w:t>
      </w:r>
    </w:p>
    <w:p w:rsidR="00707767" w:rsidRDefault="00707767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7) қызметін лауазымдық өкілеттігіне сәйкес жүзеге асыру;</w:t>
      </w:r>
    </w:p>
    <w:p w:rsidR="00707767" w:rsidRDefault="00707767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8) қызмет әдептілігін ұстану;</w:t>
      </w:r>
    </w:p>
    <w:p w:rsidR="00707767" w:rsidRPr="00404FD4" w:rsidRDefault="00707767" w:rsidP="009804FB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9) сыбайлас жемқорлық құқықбұзушылықтарды болдырмау және тоқтату жөнінде қажетті шаралар қабылдау, жазбаша түрде мүлтіксіз жоғары тұрған басшыға, уәкілетті мемлекеттік органдарға хабарлау.</w:t>
      </w:r>
    </w:p>
    <w:p w:rsidR="00707767" w:rsidRDefault="00707767" w:rsidP="00116141">
      <w:pPr>
        <w:pStyle w:val="ac"/>
        <w:spacing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5323C" w:rsidRPr="00707767" w:rsidRDefault="0005323C" w:rsidP="00116141">
      <w:pPr>
        <w:pStyle w:val="ac"/>
        <w:spacing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077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4. </w:t>
      </w:r>
      <w:r w:rsidR="007077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Өзге шектеулер мен тыйымдар</w:t>
      </w:r>
    </w:p>
    <w:p w:rsidR="00A0581C" w:rsidRPr="00707767" w:rsidRDefault="00707767" w:rsidP="00A0581C">
      <w:pPr>
        <w:pStyle w:val="ac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Білім саласындағы қызметшіге</w:t>
      </w:r>
      <w:r w:rsidR="00232140" w:rsidRPr="007077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</w:p>
    <w:p w:rsidR="00CA48A3" w:rsidRDefault="00CA48A3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егер коммерциялық ұйымды басқару Қазақстан Республикасының заңнамасы</w:t>
      </w:r>
      <w:r w:rsidR="001B04D6">
        <w:rPr>
          <w:rFonts w:ascii="Times New Roman" w:hAnsi="Times New Roman" w:cs="Times New Roman"/>
          <w:i/>
          <w:sz w:val="28"/>
          <w:szCs w:val="28"/>
          <w:lang w:val="kk-KZ"/>
        </w:rPr>
        <w:t>на сәйкес лауазымдық өкілеттігін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е кірмесе,</w:t>
      </w:r>
      <w:r w:rsidRPr="00CA48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кәсіпкерлік іспен айналысуға,</w:t>
      </w:r>
      <w:r w:rsidRPr="00CA48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соның ішінде ұйымдастыру-құқықтық формасына қарамастан,</w:t>
      </w:r>
      <w:r w:rsidRPr="00CA48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коммерциялық ұйымды басқаруға;</w:t>
      </w:r>
    </w:p>
    <w:p w:rsidR="00CA48A3" w:rsidRDefault="00CA48A3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педагогикалық, ғылыми және өзге шығармашылық істен бөлек өзге </w:t>
      </w:r>
      <w:r w:rsidR="001B04D6">
        <w:rPr>
          <w:rFonts w:ascii="Times New Roman" w:hAnsi="Times New Roman" w:cs="Times New Roman"/>
          <w:i/>
          <w:sz w:val="28"/>
          <w:szCs w:val="28"/>
          <w:lang w:val="kk-KZ"/>
        </w:rPr>
        <w:t>ақылы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іспен айналысуға;</w:t>
      </w:r>
    </w:p>
    <w:p w:rsidR="00707767" w:rsidRDefault="00CA48A3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өзі қызмет ететін, немесе қарамағындағы не бақылауындағы мемлекеттік органда үшінші жақтың ісі жөнінде өкілі болуға;</w:t>
      </w:r>
    </w:p>
    <w:p w:rsidR="00CA48A3" w:rsidRDefault="00CA48A3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егер шаруашылық субъектілерді басқару немесе басқаруға қатысу Қазақстан Республикасының заңнамасына сәйкес лауазымдық өкілеттігіне кірмесе, </w:t>
      </w:r>
      <w:r w:rsidR="00020F52">
        <w:rPr>
          <w:rFonts w:ascii="Times New Roman" w:hAnsi="Times New Roman" w:cs="Times New Roman"/>
          <w:i/>
          <w:sz w:val="28"/>
          <w:szCs w:val="28"/>
          <w:lang w:val="kk-KZ"/>
        </w:rPr>
        <w:t xml:space="preserve">өздігінше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шаруашылық субъектілерді басқаруға қатысуға</w:t>
      </w:r>
      <w:r w:rsidR="00020F52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FC677D">
        <w:rPr>
          <w:rFonts w:ascii="Times New Roman" w:hAnsi="Times New Roman" w:cs="Times New Roman"/>
          <w:i/>
          <w:sz w:val="28"/>
          <w:szCs w:val="28"/>
          <w:lang w:val="kk-KZ"/>
        </w:rPr>
        <w:t xml:space="preserve"> өзінің қызметтік өкілеттіктерін мүліктік немесе өзге игіліктерге қол жеткізу мақсатында құқыққа қайшы пайдалану арқылы ұйымдардың не жеке тұлғалардың материалдық мүдделерін қанағаттандыруға ықпал жасауға;</w:t>
      </w:r>
    </w:p>
    <w:p w:rsidR="00FC677D" w:rsidRDefault="00FC677D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қызметтік емес мақсатта материалдық-техникалық, қаржылық ақпараттық қамтамасыз етуді, өзге мемлекеттік мүлікті</w:t>
      </w:r>
      <w:r w:rsidR="001B04D6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және қызметті</w:t>
      </w:r>
      <w:r w:rsidR="001B04D6">
        <w:rPr>
          <w:rFonts w:ascii="Times New Roman" w:hAnsi="Times New Roman" w:cs="Times New Roman"/>
          <w:i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ақпаратты пайдалануға;</w:t>
      </w:r>
    </w:p>
    <w:p w:rsidR="00FC677D" w:rsidRDefault="00FC677D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мемлекеттік органдардың бірқалыпты қызмет етуіне және лауазымдық міндеттердің орындалуына, ереуілдерді қосқанда, кедергі болатын іс-қимылдарға қатысуға;</w:t>
      </w:r>
    </w:p>
    <w:p w:rsidR="009F5E1F" w:rsidRDefault="00FC677D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қоғамдық</w:t>
      </w:r>
      <w:r w:rsidR="009F5E1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адамгершілікке, тәртіп пен қауіпсіздікке қол сұғушылықпен байланысты заңнама талаптарын бұзуға, басқа азаматтарды құқыққа қайшы, қоғамға қарсы іс-қимылдар жасауға тартуға;</w:t>
      </w:r>
    </w:p>
    <w:p w:rsidR="009F5E1F" w:rsidRDefault="009F5E1F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қызметтік жағдайын және сонымен байланысты мүмкіндіктерді қоғамдық және діни бірлестіктердің мүддесін қорғауда, соның ішінде оларға деген қарым-қатынасын насихаттау үшін пайдалануға;</w:t>
      </w:r>
    </w:p>
    <w:p w:rsidR="00FC677D" w:rsidRPr="00707767" w:rsidRDefault="009F5E1F" w:rsidP="006959A9">
      <w:pPr>
        <w:pStyle w:val="ac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қызметшіге заңды, сондай-ақ жеке тұлғалармен </w:t>
      </w:r>
      <w:r w:rsidR="00517F78">
        <w:rPr>
          <w:rFonts w:ascii="Times New Roman" w:hAnsi="Times New Roman" w:cs="Times New Roman"/>
          <w:i/>
          <w:sz w:val="28"/>
          <w:szCs w:val="28"/>
          <w:lang w:val="kk-KZ"/>
        </w:rPr>
        <w:t>қызметтік ісімен байланысты әрекеттері үшін</w:t>
      </w:r>
      <w:r w:rsidR="00085B7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марапаттау ретінде сый-сияпаттар, ақшалай сыйлар, демалысқа, сауықтыруға, ұялы байланысқа, көлік шығындарына арналған төлемдер алуға </w:t>
      </w:r>
      <w:r w:rsidR="00FC677D">
        <w:rPr>
          <w:rFonts w:ascii="Times New Roman" w:hAnsi="Times New Roman" w:cs="Times New Roman"/>
          <w:i/>
          <w:sz w:val="28"/>
          <w:szCs w:val="28"/>
          <w:lang w:val="kk-KZ"/>
        </w:rPr>
        <w:t>тыйым салынады.</w:t>
      </w:r>
    </w:p>
    <w:p w:rsidR="00BC4423" w:rsidRPr="00BC186C" w:rsidRDefault="00BC4423" w:rsidP="008F24D2">
      <w:pPr>
        <w:spacing w:after="0" w:line="353" w:lineRule="atLeast"/>
        <w:textAlignment w:val="baseline"/>
        <w:rPr>
          <w:rFonts w:ascii="Georgia" w:eastAsia="Times New Roman" w:hAnsi="Georgia" w:cs="Times New Roman"/>
          <w:b/>
          <w:bCs/>
          <w:color w:val="494A4D"/>
          <w:sz w:val="25"/>
          <w:lang w:val="kk-KZ" w:eastAsia="ru-RU"/>
        </w:rPr>
      </w:pPr>
    </w:p>
    <w:p w:rsidR="00255D50" w:rsidRPr="00A152AC" w:rsidRDefault="00255D50" w:rsidP="00297367">
      <w:pPr>
        <w:spacing w:line="240" w:lineRule="auto"/>
        <w:ind w:left="5245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val="kk-KZ" w:eastAsia="ru-RU"/>
        </w:rPr>
      </w:pPr>
    </w:p>
    <w:sectPr w:rsidR="00255D50" w:rsidRPr="00A152AC" w:rsidSect="00F57C0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5E" w:rsidRDefault="00F7725E" w:rsidP="00F57C02">
      <w:pPr>
        <w:spacing w:after="0" w:line="240" w:lineRule="auto"/>
      </w:pPr>
      <w:r>
        <w:separator/>
      </w:r>
    </w:p>
  </w:endnote>
  <w:endnote w:type="continuationSeparator" w:id="0">
    <w:p w:rsidR="00F7725E" w:rsidRDefault="00F7725E" w:rsidP="00F57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5E" w:rsidRDefault="00F7725E" w:rsidP="00F57C02">
      <w:pPr>
        <w:spacing w:after="0" w:line="240" w:lineRule="auto"/>
      </w:pPr>
      <w:r>
        <w:separator/>
      </w:r>
    </w:p>
  </w:footnote>
  <w:footnote w:type="continuationSeparator" w:id="0">
    <w:p w:rsidR="00F7725E" w:rsidRDefault="00F7725E" w:rsidP="00F57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4350040"/>
      <w:docPartObj>
        <w:docPartGallery w:val="Page Numbers (Top of Page)"/>
        <w:docPartUnique/>
      </w:docPartObj>
    </w:sdtPr>
    <w:sdtEndPr/>
    <w:sdtContent>
      <w:p w:rsidR="006959A9" w:rsidRDefault="00F772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6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59A9" w:rsidRDefault="006959A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7031"/>
    <w:multiLevelType w:val="multilevel"/>
    <w:tmpl w:val="4300AE9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b/>
        <w:i w:val="0"/>
      </w:rPr>
    </w:lvl>
  </w:abstractNum>
  <w:abstractNum w:abstractNumId="1">
    <w:nsid w:val="1BE139AB"/>
    <w:multiLevelType w:val="hybridMultilevel"/>
    <w:tmpl w:val="EBF8141E"/>
    <w:lvl w:ilvl="0" w:tplc="473E9B3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10736"/>
    <w:multiLevelType w:val="hybridMultilevel"/>
    <w:tmpl w:val="5BBA62A0"/>
    <w:lvl w:ilvl="0" w:tplc="3BAC9652">
      <w:start w:val="1"/>
      <w:numFmt w:val="decimal"/>
      <w:lvlText w:val="%1)"/>
      <w:lvlJc w:val="left"/>
      <w:pPr>
        <w:ind w:left="74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4C342C"/>
    <w:multiLevelType w:val="multilevel"/>
    <w:tmpl w:val="4210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A62D62"/>
    <w:multiLevelType w:val="hybridMultilevel"/>
    <w:tmpl w:val="5C244662"/>
    <w:lvl w:ilvl="0" w:tplc="FD6A8484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3C38"/>
    <w:rsid w:val="00003CA2"/>
    <w:rsid w:val="00020F52"/>
    <w:rsid w:val="0005323C"/>
    <w:rsid w:val="00053609"/>
    <w:rsid w:val="000542F9"/>
    <w:rsid w:val="00054FC0"/>
    <w:rsid w:val="00056C03"/>
    <w:rsid w:val="00085B7A"/>
    <w:rsid w:val="00085BD2"/>
    <w:rsid w:val="00092C28"/>
    <w:rsid w:val="000B3D5B"/>
    <w:rsid w:val="000C20DF"/>
    <w:rsid w:val="000C227C"/>
    <w:rsid w:val="000C3701"/>
    <w:rsid w:val="000E36DC"/>
    <w:rsid w:val="00116141"/>
    <w:rsid w:val="00122D92"/>
    <w:rsid w:val="001438BA"/>
    <w:rsid w:val="0015679A"/>
    <w:rsid w:val="0016397E"/>
    <w:rsid w:val="00191625"/>
    <w:rsid w:val="001B04D6"/>
    <w:rsid w:val="001C389F"/>
    <w:rsid w:val="001C4D40"/>
    <w:rsid w:val="001D75CA"/>
    <w:rsid w:val="001E0C56"/>
    <w:rsid w:val="002036B9"/>
    <w:rsid w:val="00204441"/>
    <w:rsid w:val="00206915"/>
    <w:rsid w:val="00212D25"/>
    <w:rsid w:val="00232140"/>
    <w:rsid w:val="00240CB1"/>
    <w:rsid w:val="00255D50"/>
    <w:rsid w:val="00266204"/>
    <w:rsid w:val="00273654"/>
    <w:rsid w:val="002879F0"/>
    <w:rsid w:val="00297367"/>
    <w:rsid w:val="002B0354"/>
    <w:rsid w:val="002C0C9E"/>
    <w:rsid w:val="00307FF4"/>
    <w:rsid w:val="003203E9"/>
    <w:rsid w:val="00342829"/>
    <w:rsid w:val="003431BF"/>
    <w:rsid w:val="003432DF"/>
    <w:rsid w:val="00373E80"/>
    <w:rsid w:val="003849A7"/>
    <w:rsid w:val="003A239F"/>
    <w:rsid w:val="003A40FE"/>
    <w:rsid w:val="003C2327"/>
    <w:rsid w:val="003D5C15"/>
    <w:rsid w:val="00400D2F"/>
    <w:rsid w:val="00404FD4"/>
    <w:rsid w:val="00407BE5"/>
    <w:rsid w:val="00454A48"/>
    <w:rsid w:val="00475667"/>
    <w:rsid w:val="00492B53"/>
    <w:rsid w:val="004B43A7"/>
    <w:rsid w:val="004B67F7"/>
    <w:rsid w:val="004D3AA7"/>
    <w:rsid w:val="004F519F"/>
    <w:rsid w:val="004F56DE"/>
    <w:rsid w:val="00517F78"/>
    <w:rsid w:val="00526DA5"/>
    <w:rsid w:val="00550420"/>
    <w:rsid w:val="00554C5B"/>
    <w:rsid w:val="00584631"/>
    <w:rsid w:val="005870AD"/>
    <w:rsid w:val="005A58AF"/>
    <w:rsid w:val="005A6372"/>
    <w:rsid w:val="005B5EE6"/>
    <w:rsid w:val="005E1C8E"/>
    <w:rsid w:val="005F30C6"/>
    <w:rsid w:val="005F7044"/>
    <w:rsid w:val="006078ED"/>
    <w:rsid w:val="00644BC3"/>
    <w:rsid w:val="006477CC"/>
    <w:rsid w:val="00647864"/>
    <w:rsid w:val="006535DF"/>
    <w:rsid w:val="0066311E"/>
    <w:rsid w:val="0067288E"/>
    <w:rsid w:val="006959A9"/>
    <w:rsid w:val="006B4840"/>
    <w:rsid w:val="006C5CA9"/>
    <w:rsid w:val="006D63EE"/>
    <w:rsid w:val="006F3CA8"/>
    <w:rsid w:val="006F54B1"/>
    <w:rsid w:val="00700508"/>
    <w:rsid w:val="00703539"/>
    <w:rsid w:val="00706F6A"/>
    <w:rsid w:val="00707767"/>
    <w:rsid w:val="0071667C"/>
    <w:rsid w:val="00717C94"/>
    <w:rsid w:val="00720E36"/>
    <w:rsid w:val="007321F9"/>
    <w:rsid w:val="007405B5"/>
    <w:rsid w:val="00773690"/>
    <w:rsid w:val="00775B4E"/>
    <w:rsid w:val="00785531"/>
    <w:rsid w:val="007902ED"/>
    <w:rsid w:val="00792AF4"/>
    <w:rsid w:val="007B1233"/>
    <w:rsid w:val="007C7599"/>
    <w:rsid w:val="007D145B"/>
    <w:rsid w:val="007D4F0E"/>
    <w:rsid w:val="007E638A"/>
    <w:rsid w:val="007E7290"/>
    <w:rsid w:val="007E78B8"/>
    <w:rsid w:val="00811D89"/>
    <w:rsid w:val="00842B14"/>
    <w:rsid w:val="008511DD"/>
    <w:rsid w:val="00860E63"/>
    <w:rsid w:val="00864CEB"/>
    <w:rsid w:val="00877E05"/>
    <w:rsid w:val="00881AFC"/>
    <w:rsid w:val="00883881"/>
    <w:rsid w:val="008928A2"/>
    <w:rsid w:val="008A42CD"/>
    <w:rsid w:val="008D3398"/>
    <w:rsid w:val="008E1C6D"/>
    <w:rsid w:val="008E404A"/>
    <w:rsid w:val="008E567F"/>
    <w:rsid w:val="008F24D2"/>
    <w:rsid w:val="00901F4E"/>
    <w:rsid w:val="00922AB2"/>
    <w:rsid w:val="0095689C"/>
    <w:rsid w:val="0096295D"/>
    <w:rsid w:val="009804FB"/>
    <w:rsid w:val="009846BC"/>
    <w:rsid w:val="009B0F5C"/>
    <w:rsid w:val="009B38A8"/>
    <w:rsid w:val="009E54B7"/>
    <w:rsid w:val="009F5CA5"/>
    <w:rsid w:val="009F5E1F"/>
    <w:rsid w:val="00A0581C"/>
    <w:rsid w:val="00A10C9A"/>
    <w:rsid w:val="00A152AC"/>
    <w:rsid w:val="00A21D7B"/>
    <w:rsid w:val="00A671FF"/>
    <w:rsid w:val="00A8135E"/>
    <w:rsid w:val="00A87FB0"/>
    <w:rsid w:val="00AD14EC"/>
    <w:rsid w:val="00AD32D8"/>
    <w:rsid w:val="00AD3E62"/>
    <w:rsid w:val="00AD7656"/>
    <w:rsid w:val="00AE77FD"/>
    <w:rsid w:val="00B366E3"/>
    <w:rsid w:val="00B51F12"/>
    <w:rsid w:val="00B55AD1"/>
    <w:rsid w:val="00B63667"/>
    <w:rsid w:val="00B6591C"/>
    <w:rsid w:val="00B73712"/>
    <w:rsid w:val="00B75AD7"/>
    <w:rsid w:val="00BC186C"/>
    <w:rsid w:val="00BC4423"/>
    <w:rsid w:val="00C04B69"/>
    <w:rsid w:val="00C1198E"/>
    <w:rsid w:val="00C42848"/>
    <w:rsid w:val="00C62D75"/>
    <w:rsid w:val="00C70932"/>
    <w:rsid w:val="00C72B65"/>
    <w:rsid w:val="00C733D2"/>
    <w:rsid w:val="00C7738B"/>
    <w:rsid w:val="00C935A4"/>
    <w:rsid w:val="00C93E93"/>
    <w:rsid w:val="00CA48A3"/>
    <w:rsid w:val="00CB0F49"/>
    <w:rsid w:val="00CB4DFE"/>
    <w:rsid w:val="00CC6216"/>
    <w:rsid w:val="00CD2EF6"/>
    <w:rsid w:val="00CE2CD7"/>
    <w:rsid w:val="00D13AD3"/>
    <w:rsid w:val="00D34982"/>
    <w:rsid w:val="00D90807"/>
    <w:rsid w:val="00D979F0"/>
    <w:rsid w:val="00DE1420"/>
    <w:rsid w:val="00DF512C"/>
    <w:rsid w:val="00E10647"/>
    <w:rsid w:val="00E27107"/>
    <w:rsid w:val="00E43CFF"/>
    <w:rsid w:val="00E4518F"/>
    <w:rsid w:val="00E51EF5"/>
    <w:rsid w:val="00E529AA"/>
    <w:rsid w:val="00E53A5B"/>
    <w:rsid w:val="00E55513"/>
    <w:rsid w:val="00E721BB"/>
    <w:rsid w:val="00E86AC1"/>
    <w:rsid w:val="00E86E47"/>
    <w:rsid w:val="00E94C41"/>
    <w:rsid w:val="00ED3FB1"/>
    <w:rsid w:val="00F06398"/>
    <w:rsid w:val="00F3474B"/>
    <w:rsid w:val="00F36029"/>
    <w:rsid w:val="00F57C02"/>
    <w:rsid w:val="00F63C38"/>
    <w:rsid w:val="00F73A5D"/>
    <w:rsid w:val="00F7725E"/>
    <w:rsid w:val="00FC677D"/>
    <w:rsid w:val="00FE4782"/>
    <w:rsid w:val="00FF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6DE"/>
  </w:style>
  <w:style w:type="paragraph" w:styleId="3">
    <w:name w:val="heading 3"/>
    <w:basedOn w:val="a"/>
    <w:link w:val="30"/>
    <w:uiPriority w:val="9"/>
    <w:qFormat/>
    <w:rsid w:val="00F63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3C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6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3C3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5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C02"/>
  </w:style>
  <w:style w:type="paragraph" w:styleId="a7">
    <w:name w:val="footer"/>
    <w:basedOn w:val="a"/>
    <w:link w:val="a8"/>
    <w:uiPriority w:val="99"/>
    <w:unhideWhenUsed/>
    <w:rsid w:val="00F57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C02"/>
  </w:style>
  <w:style w:type="paragraph" w:styleId="a9">
    <w:name w:val="Balloon Text"/>
    <w:basedOn w:val="a"/>
    <w:link w:val="aa"/>
    <w:uiPriority w:val="99"/>
    <w:semiHidden/>
    <w:unhideWhenUsed/>
    <w:rsid w:val="00F5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C02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F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B0F5C"/>
    <w:pPr>
      <w:ind w:left="720"/>
      <w:contextualSpacing/>
    </w:pPr>
  </w:style>
  <w:style w:type="paragraph" w:customStyle="1" w:styleId="Default">
    <w:name w:val="Default"/>
    <w:rsid w:val="00F360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54950-A56E-4B51-96E9-30C758CF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Шиян</dc:creator>
  <cp:lastModifiedBy>User-ПК</cp:lastModifiedBy>
  <cp:revision>82</cp:revision>
  <cp:lastPrinted>2016-07-11T11:52:00Z</cp:lastPrinted>
  <dcterms:created xsi:type="dcterms:W3CDTF">2016-07-07T03:23:00Z</dcterms:created>
  <dcterms:modified xsi:type="dcterms:W3CDTF">2021-03-10T04:38:00Z</dcterms:modified>
</cp:coreProperties>
</file>